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A" w:rsidRDefault="00CB4C3B" w:rsidP="00CB4C3B">
      <w:pPr>
        <w:spacing w:after="150"/>
        <w:jc w:val="both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70.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116/07, 88/09, 88/09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</w:t>
      </w:r>
      <w:r>
        <w:rPr>
          <w:color w:val="000000"/>
        </w:rPr>
        <w:t xml:space="preserve">104/09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PC”,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 и 7/14 – УС),</w:t>
      </w:r>
    </w:p>
    <w:p w:rsidR="005C4D4A" w:rsidRDefault="00CB4C3B" w:rsidP="00CB4C3B">
      <w:pPr>
        <w:spacing w:after="150"/>
        <w:jc w:val="center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C4D4A" w:rsidRDefault="00CB4C3B" w:rsidP="00CB4C3B">
      <w:pPr>
        <w:spacing w:after="0"/>
        <w:jc w:val="center"/>
      </w:pPr>
      <w:r>
        <w:rPr>
          <w:b/>
          <w:color w:val="000000"/>
        </w:rPr>
        <w:t>ОДЛУКУ</w:t>
      </w:r>
    </w:p>
    <w:p w:rsidR="005C4D4A" w:rsidRDefault="00CB4C3B" w:rsidP="00CB4C3B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великих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</w:t>
      </w:r>
      <w:r>
        <w:rPr>
          <w:b/>
          <w:color w:val="000000"/>
        </w:rPr>
        <w:t>дбрану</w:t>
      </w:r>
      <w:proofErr w:type="spellEnd"/>
    </w:p>
    <w:p w:rsidR="005C4D4A" w:rsidRDefault="00CB4C3B" w:rsidP="00CB4C3B">
      <w:pPr>
        <w:spacing w:after="15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41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2014, 35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2015, 86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2016, 53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2017, 26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2019, 94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2019, 67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2021.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водоснабдевања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Великим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повезаност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Велики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:</w:t>
      </w:r>
    </w:p>
    <w:p w:rsidR="005C4D4A" w:rsidRDefault="00CB4C3B" w:rsidP="00CB4C3B">
      <w:pPr>
        <w:spacing w:after="150"/>
        <w:jc w:val="both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телекомуникација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Предузеће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телекомуникације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Телеком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Србија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акционарско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>; „</w:t>
      </w:r>
      <w:proofErr w:type="spellStart"/>
      <w:r>
        <w:rPr>
          <w:b/>
          <w:color w:val="000000"/>
        </w:rPr>
        <w:t>Telenor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d.o.o</w:t>
      </w:r>
      <w:proofErr w:type="spellEnd"/>
      <w:r>
        <w:rPr>
          <w:b/>
          <w:color w:val="000000"/>
        </w:rPr>
        <w:t xml:space="preserve">., Beograd; CETIN </w:t>
      </w:r>
      <w:proofErr w:type="spellStart"/>
      <w:r>
        <w:rPr>
          <w:b/>
          <w:color w:val="000000"/>
        </w:rPr>
        <w:t>d.o.o</w:t>
      </w:r>
      <w:proofErr w:type="spellEnd"/>
      <w:r>
        <w:rPr>
          <w:b/>
          <w:color w:val="000000"/>
        </w:rPr>
        <w:t xml:space="preserve">. Beograd – Novi Beograd и Al </w:t>
      </w:r>
      <w:proofErr w:type="spellStart"/>
      <w:r>
        <w:rPr>
          <w:b/>
          <w:color w:val="000000"/>
        </w:rPr>
        <w:t>Srbija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d.o.o</w:t>
      </w:r>
      <w:proofErr w:type="spellEnd"/>
      <w:r>
        <w:rPr>
          <w:b/>
          <w:color w:val="000000"/>
        </w:rPr>
        <w:t>. Beograd;</w:t>
      </w:r>
      <w:r>
        <w:rPr>
          <w:rFonts w:ascii="Calibri"/>
          <w:b/>
          <w:color w:val="000000"/>
          <w:vertAlign w:val="superscript"/>
        </w:rPr>
        <w:t>*5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2)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Akcionarsko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društvo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vazdušni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</w:rPr>
        <w:t>aobraćaj</w:t>
      </w:r>
      <w:proofErr w:type="spellEnd"/>
      <w:r>
        <w:rPr>
          <w:color w:val="000000"/>
        </w:rPr>
        <w:t xml:space="preserve"> Air SERBIA, Beograd; </w:t>
      </w:r>
      <w:r>
        <w:rPr>
          <w:b/>
          <w:color w:val="000000"/>
        </w:rPr>
        <w:t xml:space="preserve">BELGRADE AIRPORT </w:t>
      </w:r>
      <w:proofErr w:type="spellStart"/>
      <w:r>
        <w:rPr>
          <w:b/>
          <w:color w:val="000000"/>
        </w:rPr>
        <w:t>d.o.o</w:t>
      </w:r>
      <w:proofErr w:type="spellEnd"/>
      <w:r>
        <w:rPr>
          <w:b/>
          <w:color w:val="000000"/>
        </w:rPr>
        <w:t>. Beograd;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Горе</w:t>
      </w:r>
      <w:proofErr w:type="spellEnd"/>
      <w:r>
        <w:rPr>
          <w:color w:val="000000"/>
        </w:rPr>
        <w:t xml:space="preserve"> SMATSA </w:t>
      </w:r>
      <w:proofErr w:type="spellStart"/>
      <w:r>
        <w:rPr>
          <w:color w:val="000000"/>
        </w:rPr>
        <w:t>д.о.о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Акционарско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Железнице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Акционарско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железнички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прево</w:t>
      </w:r>
      <w:r>
        <w:rPr>
          <w:b/>
          <w:color w:val="000000"/>
        </w:rPr>
        <w:t>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путника</w:t>
      </w:r>
      <w:proofErr w:type="spellEnd"/>
      <w:r>
        <w:rPr>
          <w:b/>
          <w:color w:val="000000"/>
        </w:rPr>
        <w:t xml:space="preserve"> ’</w:t>
      </w:r>
      <w:proofErr w:type="spellStart"/>
      <w:r>
        <w:rPr>
          <w:b/>
          <w:color w:val="000000"/>
        </w:rPr>
        <w:t>Србија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</w:t>
      </w:r>
      <w:proofErr w:type="spellEnd"/>
      <w:r>
        <w:rPr>
          <w:b/>
          <w:color w:val="000000"/>
        </w:rPr>
        <w:t xml:space="preserve">’,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  <w:proofErr w:type="spellStart"/>
      <w:r>
        <w:rPr>
          <w:b/>
          <w:color w:val="000000"/>
        </w:rPr>
        <w:t>Акционарско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железнички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превоз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робе</w:t>
      </w:r>
      <w:proofErr w:type="spellEnd"/>
      <w:r>
        <w:rPr>
          <w:b/>
          <w:color w:val="000000"/>
        </w:rPr>
        <w:t xml:space="preserve"> ’</w:t>
      </w:r>
      <w:proofErr w:type="spellStart"/>
      <w:r>
        <w:rPr>
          <w:b/>
          <w:color w:val="000000"/>
        </w:rPr>
        <w:t>Србија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Kapгo</w:t>
      </w:r>
      <w:proofErr w:type="spellEnd"/>
      <w:r>
        <w:rPr>
          <w:b/>
          <w:color w:val="000000"/>
        </w:rPr>
        <w:t xml:space="preserve">’,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Акционарско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железничком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инфраструктуром</w:t>
      </w:r>
      <w:proofErr w:type="spellEnd"/>
      <w:r>
        <w:rPr>
          <w:b/>
          <w:color w:val="000000"/>
        </w:rPr>
        <w:t xml:space="preserve"> ’</w:t>
      </w:r>
      <w:proofErr w:type="spellStart"/>
      <w:r>
        <w:rPr>
          <w:b/>
          <w:color w:val="000000"/>
        </w:rPr>
        <w:t>Инфраструктура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железнице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’,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color w:val="000000"/>
        </w:rPr>
        <w:t>Јавно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дузеће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Електропривреда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зависним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привредним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друштвима</w:t>
      </w:r>
      <w:proofErr w:type="spellEnd"/>
      <w:r>
        <w:rPr>
          <w:b/>
          <w:color w:val="000000"/>
        </w:rPr>
        <w:t>; „</w:t>
      </w:r>
      <w:proofErr w:type="spellStart"/>
      <w:r>
        <w:rPr>
          <w:b/>
          <w:color w:val="000000"/>
        </w:rPr>
        <w:t>Електродистрибуција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д.о.о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rFonts w:ascii="Calibri"/>
          <w:b/>
          <w:color w:val="000000"/>
          <w:vertAlign w:val="superscript"/>
        </w:rPr>
        <w:t>*5</w:t>
      </w:r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Акционарско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друштво</w:t>
      </w:r>
      <w:proofErr w:type="spellEnd"/>
      <w:r>
        <w:rPr>
          <w:b/>
          <w:color w:val="000000"/>
        </w:rPr>
        <w:t xml:space="preserve"> ’</w:t>
      </w:r>
      <w:proofErr w:type="spellStart"/>
      <w:r>
        <w:rPr>
          <w:b/>
          <w:color w:val="000000"/>
        </w:rPr>
        <w:t>Електромрежа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Србије</w:t>
      </w:r>
      <w:proofErr w:type="spellEnd"/>
      <w:r>
        <w:rPr>
          <w:b/>
          <w:color w:val="000000"/>
        </w:rPr>
        <w:t xml:space="preserve">’,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„НИС”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Србиј</w:t>
      </w:r>
      <w:r>
        <w:rPr>
          <w:color w:val="000000"/>
        </w:rPr>
        <w:t>агас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Рафинерија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 и </w:t>
      </w:r>
      <w:r>
        <w:rPr>
          <w:b/>
          <w:color w:val="000000"/>
        </w:rPr>
        <w:t xml:space="preserve">ТРАНСНАФТА АД </w:t>
      </w:r>
      <w:proofErr w:type="spellStart"/>
      <w:r>
        <w:rPr>
          <w:b/>
          <w:color w:val="000000"/>
        </w:rPr>
        <w:t>Панчево</w:t>
      </w:r>
      <w:proofErr w:type="spellEnd"/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>;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4)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водоснабдевања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Србијаводе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Војводине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Но</w:t>
      </w:r>
      <w:r>
        <w:rPr>
          <w:color w:val="000000"/>
        </w:rPr>
        <w:t>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Београдски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водовод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канализација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водоснабдевање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Рзав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Ариље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водовод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канализацију</w:t>
      </w:r>
      <w:proofErr w:type="spellEnd"/>
      <w:r>
        <w:rPr>
          <w:color w:val="000000"/>
        </w:rPr>
        <w:t xml:space="preserve"> „NAISSUS”, </w:t>
      </w:r>
      <w:proofErr w:type="spellStart"/>
      <w:r>
        <w:rPr>
          <w:color w:val="000000"/>
        </w:rPr>
        <w:t>Ниш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водоснабдевање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дистриб</w:t>
      </w:r>
      <w:r>
        <w:rPr>
          <w:color w:val="000000"/>
        </w:rPr>
        <w:t>уцију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Ибар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Зубин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поток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Водовод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канализација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>;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color w:val="000000"/>
        </w:rPr>
        <w:t>Јавна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медијска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Радио-телевизија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Београд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Емисиона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„Messer </w:t>
      </w:r>
      <w:proofErr w:type="spellStart"/>
      <w:r>
        <w:rPr>
          <w:color w:val="000000"/>
        </w:rPr>
        <w:t>Tehn</w:t>
      </w:r>
      <w:r>
        <w:rPr>
          <w:color w:val="000000"/>
        </w:rPr>
        <w:t>ogas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акционарско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медицинских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; 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шумама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Србијашуме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одговорношћу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Јавно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предузеће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Војводинашуме</w:t>
      </w:r>
      <w:proofErr w:type="spellEnd"/>
      <w:r>
        <w:rPr>
          <w:b/>
          <w:color w:val="000000"/>
        </w:rPr>
        <w:t xml:space="preserve">”, </w:t>
      </w:r>
      <w:proofErr w:type="spellStart"/>
      <w:r>
        <w:rPr>
          <w:b/>
          <w:color w:val="000000"/>
        </w:rPr>
        <w:t>Петроварадин</w:t>
      </w:r>
      <w:proofErr w:type="spellEnd"/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35/2015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86/2016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>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53/2017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>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94/2019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>*****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67/2021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5. </w:t>
      </w:r>
      <w:r>
        <w:rPr>
          <w:color w:val="000000"/>
        </w:rPr>
        <w:t xml:space="preserve">О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изградњи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виталних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инвестиционо-техничку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образложен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.</w:t>
      </w:r>
      <w:proofErr w:type="gramEnd"/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упознавању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</w:t>
      </w:r>
      <w:r>
        <w:rPr>
          <w:color w:val="000000"/>
        </w:rPr>
        <w:t>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proofErr w:type="spellStart"/>
      <w:proofErr w:type="gramStart"/>
      <w:r>
        <w:rPr>
          <w:color w:val="000000"/>
        </w:rPr>
        <w:lastRenderedPageBreak/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нарушавају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техничко-технолошко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</w:t>
      </w:r>
      <w:r>
        <w:rPr>
          <w:color w:val="000000"/>
        </w:rPr>
        <w:t>ости</w:t>
      </w:r>
      <w:proofErr w:type="spellEnd"/>
      <w:r>
        <w:rPr>
          <w:color w:val="000000"/>
        </w:rPr>
        <w:t>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15/09, 54/10, 4/11 и 58/11).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</w:t>
      </w:r>
      <w:r>
        <w:rPr>
          <w:color w:val="000000"/>
        </w:rPr>
        <w:t>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C4D4A" w:rsidRDefault="00CB4C3B" w:rsidP="00CB4C3B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88-2845/2014</w:t>
      </w:r>
    </w:p>
    <w:p w:rsidR="005C4D4A" w:rsidRDefault="00CB4C3B" w:rsidP="00CB4C3B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5C4D4A" w:rsidRDefault="00CB4C3B" w:rsidP="00CB4C3B">
      <w:pPr>
        <w:spacing w:after="150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5C4D4A" w:rsidRDefault="00CB4C3B" w:rsidP="00CB4C3B">
      <w:pPr>
        <w:spacing w:after="150"/>
        <w:jc w:val="both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C4D4A" w:rsidRDefault="00CB4C3B" w:rsidP="00CB4C3B">
      <w:pPr>
        <w:spacing w:after="150"/>
        <w:jc w:val="both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C4D4A" w:rsidSect="005C4D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D4A"/>
    <w:rsid w:val="005C4D4A"/>
    <w:rsid w:val="00C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D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C4D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2022-01-20T13:50:00Z</dcterms:created>
  <dcterms:modified xsi:type="dcterms:W3CDTF">2022-01-20T13:50:00Z</dcterms:modified>
</cp:coreProperties>
</file>