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D" w:rsidRDefault="002403AA" w:rsidP="002403AA">
      <w:pPr>
        <w:spacing w:after="150"/>
        <w:jc w:val="both"/>
      </w:pPr>
      <w:r>
        <w:rPr>
          <w:rFonts w:ascii="Arial"/>
          <w:color w:val="000000"/>
        </w:rPr>
        <w:t>﻿</w:t>
      </w: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одбрани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116/07, 88/09, 88/09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104/09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 и 16/11),</w:t>
      </w:r>
    </w:p>
    <w:p w:rsidR="00566CBD" w:rsidRDefault="002403AA" w:rsidP="002403AA">
      <w:pPr>
        <w:spacing w:after="150"/>
        <w:jc w:val="both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66CBD" w:rsidRDefault="002403AA" w:rsidP="002403AA">
      <w:pPr>
        <w:spacing w:after="150"/>
        <w:jc w:val="both"/>
      </w:pPr>
      <w:r>
        <w:rPr>
          <w:color w:val="000000"/>
        </w:rPr>
        <w:t> 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> </w:t>
      </w:r>
    </w:p>
    <w:p w:rsidR="00566CBD" w:rsidRDefault="002403AA" w:rsidP="002403AA">
      <w:pPr>
        <w:spacing w:after="225"/>
        <w:jc w:val="center"/>
      </w:pPr>
      <w:r>
        <w:rPr>
          <w:b/>
          <w:color w:val="000000"/>
        </w:rPr>
        <w:t>ОДЛУКУ</w:t>
      </w:r>
    </w:p>
    <w:p w:rsidR="00566CBD" w:rsidRDefault="002403AA" w:rsidP="002403AA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израђују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одбране</w:t>
      </w:r>
      <w:proofErr w:type="spellEnd"/>
    </w:p>
    <w:p w:rsidR="00566CBD" w:rsidRDefault="002403AA" w:rsidP="002403AA">
      <w:pPr>
        <w:spacing w:after="15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2011.</w:t>
      </w:r>
    </w:p>
    <w:p w:rsidR="00566CBD" w:rsidRDefault="002403AA" w:rsidP="002403AA">
      <w:pPr>
        <w:spacing w:after="150"/>
        <w:jc w:val="both"/>
      </w:pPr>
      <w:r>
        <w:rPr>
          <w:b/>
          <w:color w:val="000000"/>
        </w:rPr>
        <w:t> </w:t>
      </w:r>
    </w:p>
    <w:p w:rsidR="00566CBD" w:rsidRDefault="002403AA" w:rsidP="002403AA">
      <w:pPr>
        <w:spacing w:after="150"/>
        <w:jc w:val="both"/>
      </w:pPr>
      <w:r>
        <w:rPr>
          <w:b/>
          <w:color w:val="000000"/>
        </w:rPr>
        <w:t> 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> 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функцији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> 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Пра</w:t>
      </w:r>
      <w:r>
        <w:rPr>
          <w:color w:val="000000"/>
        </w:rPr>
        <w:t>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>: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производња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оружја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муниције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пољопривреда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рибарство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рударство</w:t>
      </w:r>
      <w:proofErr w:type="spellEnd"/>
      <w:proofErr w:type="gram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прерађивачка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индустрија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снабдевање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гасом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климатизација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снаб</w:t>
      </w:r>
      <w:r>
        <w:rPr>
          <w:color w:val="000000"/>
        </w:rPr>
        <w:t>девање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уклањања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грађевинарство</w:t>
      </w:r>
      <w:proofErr w:type="spellEnd"/>
      <w:proofErr w:type="gram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трговина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поправка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мотоцикала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саобраћај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10) </w:t>
      </w:r>
      <w:proofErr w:type="spellStart"/>
      <w:proofErr w:type="gramStart"/>
      <w:r>
        <w:rPr>
          <w:color w:val="000000"/>
        </w:rPr>
        <w:t>услуге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исхране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11) </w:t>
      </w:r>
      <w:proofErr w:type="spellStart"/>
      <w:proofErr w:type="gramStart"/>
      <w:r>
        <w:rPr>
          <w:color w:val="000000"/>
        </w:rPr>
        <w:t>информисање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комуникације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lastRenderedPageBreak/>
        <w:t xml:space="preserve">12) </w:t>
      </w:r>
      <w:proofErr w:type="spellStart"/>
      <w:proofErr w:type="gramStart"/>
      <w:r>
        <w:rPr>
          <w:color w:val="000000"/>
        </w:rPr>
        <w:t>финансијске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13) </w:t>
      </w:r>
      <w:proofErr w:type="spellStart"/>
      <w:proofErr w:type="gramStart"/>
      <w:r>
        <w:rPr>
          <w:color w:val="000000"/>
        </w:rPr>
        <w:t>стручне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иновационе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;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14) </w:t>
      </w:r>
      <w:proofErr w:type="spellStart"/>
      <w:proofErr w:type="gramStart"/>
      <w:r>
        <w:rPr>
          <w:color w:val="000000"/>
        </w:rPr>
        <w:t>образовање</w:t>
      </w:r>
      <w:proofErr w:type="spellEnd"/>
      <w:proofErr w:type="gramEnd"/>
      <w:r>
        <w:rPr>
          <w:color w:val="000000"/>
        </w:rPr>
        <w:t>, и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15) </w:t>
      </w:r>
      <w:proofErr w:type="spellStart"/>
      <w:proofErr w:type="gramStart"/>
      <w:r>
        <w:rPr>
          <w:color w:val="000000"/>
        </w:rPr>
        <w:t>здравствена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>.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> 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.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> 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> </w:t>
      </w:r>
    </w:p>
    <w:p w:rsidR="00566CBD" w:rsidRDefault="002403AA" w:rsidP="002403AA">
      <w:pPr>
        <w:spacing w:after="150"/>
        <w:jc w:val="both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119-5866/2011-1</w:t>
      </w:r>
    </w:p>
    <w:p w:rsidR="00566CBD" w:rsidRDefault="002403AA" w:rsidP="002403AA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566CBD" w:rsidRDefault="002403AA" w:rsidP="002403AA">
      <w:pPr>
        <w:spacing w:after="150"/>
        <w:jc w:val="both"/>
      </w:pPr>
      <w:proofErr w:type="spellStart"/>
      <w:r>
        <w:rPr>
          <w:b/>
          <w:color w:val="000000"/>
        </w:rPr>
        <w:t>Влада</w:t>
      </w:r>
      <w:proofErr w:type="spellEnd"/>
    </w:p>
    <w:p w:rsidR="00566CBD" w:rsidRDefault="002403AA" w:rsidP="002403AA">
      <w:pPr>
        <w:spacing w:after="150"/>
        <w:jc w:val="both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–</w:t>
      </w:r>
    </w:p>
    <w:p w:rsidR="00566CBD" w:rsidRDefault="002403AA" w:rsidP="002403AA">
      <w:pPr>
        <w:spacing w:after="150"/>
        <w:jc w:val="both"/>
      </w:pPr>
      <w:proofErr w:type="spellStart"/>
      <w:proofErr w:type="gramStart"/>
      <w:r>
        <w:rPr>
          <w:color w:val="000000"/>
        </w:rPr>
        <w:t>заменик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566CBD" w:rsidRDefault="002403AA" w:rsidP="002403AA">
      <w:pPr>
        <w:spacing w:after="150"/>
        <w:jc w:val="both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gramStart"/>
      <w:r>
        <w:rPr>
          <w:b/>
          <w:color w:val="000000"/>
        </w:rPr>
        <w:t>,</w:t>
      </w:r>
      <w:r>
        <w:rPr>
          <w:color w:val="000000"/>
        </w:rPr>
        <w:t>с.р</w:t>
      </w:r>
      <w:proofErr w:type="spellEnd"/>
      <w:proofErr w:type="gramEnd"/>
      <w:r>
        <w:rPr>
          <w:color w:val="000000"/>
        </w:rPr>
        <w:t>.</w:t>
      </w:r>
    </w:p>
    <w:sectPr w:rsidR="00566CBD" w:rsidSect="00566C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CBD"/>
    <w:rsid w:val="002403AA"/>
    <w:rsid w:val="0056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66C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66C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2022-01-20T13:49:00Z</dcterms:created>
  <dcterms:modified xsi:type="dcterms:W3CDTF">2022-01-20T13:49:00Z</dcterms:modified>
</cp:coreProperties>
</file>