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На основу члана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5. </w:t>
      </w:r>
      <w:proofErr w:type="gramStart"/>
      <w:r>
        <w:rPr>
          <w:color w:val="000000"/>
        </w:rPr>
        <w:t xml:space="preserve">Закона о војној, радној и материјалној обавези („Службени гласник РС”, бр. 88/09 и </w:t>
      </w:r>
      <w:r>
        <w:rPr>
          <w:color w:val="000000"/>
        </w:rPr>
        <w:t>95/10) и члана 42.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1. Закона о Влади („Службени гласник РС”, бр. 55/05, 71/05 – исправка, 101/07 и 65/08),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>Влада доноси</w:t>
      </w:r>
    </w:p>
    <w:p w:rsidR="006364EA" w:rsidRDefault="00AD0C3A" w:rsidP="00AD0C3A">
      <w:pPr>
        <w:spacing w:after="225"/>
        <w:jc w:val="center"/>
      </w:pPr>
      <w:r>
        <w:rPr>
          <w:b/>
          <w:color w:val="000000"/>
        </w:rPr>
        <w:t>УРЕДБУ</w:t>
      </w:r>
    </w:p>
    <w:p w:rsidR="006364EA" w:rsidRDefault="00AD0C3A" w:rsidP="00AD0C3A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начину и поступку добровољног служења војног рока са оружјем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"Службени гласник РС", бр.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7 од 8.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2011, 95 од 30. </w:t>
      </w:r>
      <w:proofErr w:type="gramStart"/>
      <w:r>
        <w:rPr>
          <w:color w:val="000000"/>
        </w:rPr>
        <w:t>н</w:t>
      </w:r>
      <w:r>
        <w:rPr>
          <w:color w:val="000000"/>
        </w:rPr>
        <w:t>овембра</w:t>
      </w:r>
      <w:proofErr w:type="gramEnd"/>
      <w:r>
        <w:rPr>
          <w:color w:val="000000"/>
        </w:rPr>
        <w:t xml:space="preserve"> 2016, 96 од 8. </w:t>
      </w:r>
      <w:proofErr w:type="gramStart"/>
      <w:r>
        <w:rPr>
          <w:color w:val="000000"/>
        </w:rPr>
        <w:t>октобра</w:t>
      </w:r>
      <w:proofErr w:type="gramEnd"/>
      <w:r>
        <w:rPr>
          <w:color w:val="000000"/>
        </w:rPr>
        <w:t xml:space="preserve"> 2021.</w:t>
      </w:r>
    </w:p>
    <w:p w:rsidR="006364EA" w:rsidRDefault="00AD0C3A" w:rsidP="00AD0C3A">
      <w:pPr>
        <w:spacing w:after="120"/>
        <w:jc w:val="center"/>
      </w:pPr>
      <w:r>
        <w:rPr>
          <w:color w:val="000000"/>
        </w:rPr>
        <w:t>I. УВОДНЕ ОДРЕДБЕ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Овом уредбом уређују се начин и поступак добровољног служења војног рока са оружјем.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Појмови који се користе у овој уредби имају следеће значење: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кандидат</w:t>
      </w:r>
      <w:proofErr w:type="gramEnd"/>
      <w:r>
        <w:rPr>
          <w:color w:val="000000"/>
        </w:rPr>
        <w:t xml:space="preserve"> је лице које поднeсe пријав</w:t>
      </w:r>
      <w:r>
        <w:rPr>
          <w:color w:val="000000"/>
        </w:rPr>
        <w:t>у на јавни оглас Министарства одбране за добровољно служење војног рока са оружјем на начин прописан овом уредбом;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војник</w:t>
      </w:r>
      <w:proofErr w:type="gramEnd"/>
      <w:r>
        <w:rPr>
          <w:color w:val="000000"/>
        </w:rPr>
        <w:t xml:space="preserve"> је лице које је актом надлежног органа упућено на добровољно служење војног рока са оружјем и које се јавило у центар за обуку Војс</w:t>
      </w:r>
      <w:r>
        <w:rPr>
          <w:color w:val="000000"/>
        </w:rPr>
        <w:t>ке Србије.</w:t>
      </w:r>
    </w:p>
    <w:p w:rsidR="006364EA" w:rsidRDefault="00AD0C3A" w:rsidP="00AD0C3A">
      <w:pPr>
        <w:spacing w:after="120"/>
        <w:jc w:val="center"/>
      </w:pPr>
      <w:r>
        <w:rPr>
          <w:color w:val="000000"/>
        </w:rPr>
        <w:t>II. ПРИЈАВА И ЕВИДЕНЦИЈА КАНДИДАТА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Министарство одбране у средствима јавног информисања објављује оглас за пријаву кандидата за добровољно служење војног рока са оружјем, у складу са утврђеним потребама и наређењем министра одбране или л</w:t>
      </w:r>
      <w:r>
        <w:rPr>
          <w:color w:val="000000"/>
        </w:rPr>
        <w:t>ица које он овласти о упућивању на добровољно служење војног рока са оружјем.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Оглас за пријаву кандидата за добровољно служење војног рока са оружјем објављује се најмање два месеца пре упућивања на добровољно служење војног рока са оружјем.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Заинте</w:t>
      </w:r>
      <w:r>
        <w:rPr>
          <w:color w:val="000000"/>
        </w:rPr>
        <w:t>ресовано лице подноси пријаву за добровољно служење војног рока са оружјем надлежном центру Министарства одбране за локалну самоуправу, према месту пребивалишта</w:t>
      </w:r>
      <w:r>
        <w:rPr>
          <w:b/>
          <w:color w:val="000000"/>
        </w:rPr>
        <w:t>, непосредно или посредно – путем електронске услуге Министарства одбране на Порталу еУправa, од</w:t>
      </w:r>
      <w:r>
        <w:rPr>
          <w:b/>
          <w:color w:val="000000"/>
        </w:rPr>
        <w:t>носно путем услуге коју пружа Јавно предузеће Пошта Србије Београд на шалтерима.</w:t>
      </w:r>
      <w:r>
        <w:rPr>
          <w:rFonts w:ascii="Calibri"/>
          <w:b/>
          <w:color w:val="000000"/>
          <w:vertAlign w:val="superscript"/>
        </w:rPr>
        <w:t>*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lastRenderedPageBreak/>
        <w:t>Заинтересовано лице које привремено или стално борави у иностранству, а води се у евиденцији по месту пребивалишта у Републици Србији, пријаву за добровољно служење војног ро</w:t>
      </w:r>
      <w:r>
        <w:rPr>
          <w:color w:val="000000"/>
        </w:rPr>
        <w:t>ка са оружјем може поднети надлежном дипломатско-конзуларном представништву Републике Србије у иностранству.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Пријаве за добровољно служење војног рока са оружјем дипломатско-конзуларно представништво Републике Србије у иностранству доставља Министарству од</w:t>
      </w:r>
      <w:r>
        <w:rPr>
          <w:color w:val="000000"/>
        </w:rPr>
        <w:t>бране.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Образац пријаве за добровољно служење војног рока са оружјем одштампан је уз ову уредбу и чини њен саставни део.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*Службени гласник РС, број 96/2021</w:t>
      </w:r>
    </w:p>
    <w:p w:rsidR="006364EA" w:rsidRDefault="00AD0C3A" w:rsidP="00AD0C3A">
      <w:pPr>
        <w:spacing w:after="120"/>
        <w:jc w:val="center"/>
      </w:pPr>
      <w:r>
        <w:rPr>
          <w:color w:val="000000"/>
        </w:rPr>
        <w:t>III. ИЗБОР КАНДИДАТА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 xml:space="preserve">Центар Министарства одбране за локалну самоуправу је дужан да обезбеди </w:t>
      </w:r>
      <w:r>
        <w:rPr>
          <w:color w:val="000000"/>
        </w:rPr>
        <w:t>кандидатима организовани превоз или исплати накнаду путних трошкова у вези са утврђивањем оцене способности за војну службу на основу прописа о мерилима за оцењивање здравствене способности војних обвезника, за долазак од места пребивалишта у Републици Срб</w:t>
      </w:r>
      <w:r>
        <w:rPr>
          <w:color w:val="000000"/>
        </w:rPr>
        <w:t>ији до места прегледа и за повратак.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Центар Министарства одбране за локалну самоуправу позива пријављене кандидате појединачним позивом на извршење лекарског прегледа.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Пре упућивања на лекарски преглед центар Министарства одбране за локалну самоупр</w:t>
      </w:r>
      <w:r>
        <w:rPr>
          <w:color w:val="000000"/>
        </w:rPr>
        <w:t>аву дужан је да: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упозна</w:t>
      </w:r>
      <w:proofErr w:type="gramEnd"/>
      <w:r>
        <w:rPr>
          <w:color w:val="000000"/>
        </w:rPr>
        <w:t xml:space="preserve"> кандидата са правима и обавезама у вези са лекарским прегледом;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изда</w:t>
      </w:r>
      <w:proofErr w:type="gramEnd"/>
      <w:r>
        <w:rPr>
          <w:color w:val="000000"/>
        </w:rPr>
        <w:t xml:space="preserve"> кандидату упут за лекарски преглед.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Кандидат је дужан да надлежном центру Министарства одбране за локалну </w:t>
      </w:r>
      <w:proofErr w:type="gramStart"/>
      <w:r>
        <w:rPr>
          <w:color w:val="000000"/>
        </w:rPr>
        <w:t>самоуправу</w:t>
      </w:r>
      <w:proofErr w:type="gramEnd"/>
      <w:r>
        <w:rPr>
          <w:color w:val="000000"/>
        </w:rPr>
        <w:t xml:space="preserve">, непосредно или препорученом </w:t>
      </w:r>
      <w:r>
        <w:rPr>
          <w:color w:val="000000"/>
        </w:rPr>
        <w:t>поштом, пријави промену пребивалишта, здравственог стања, брачног стања, стицања стручне спреме и друге податке о којима се води војна евиденција и који могу бити значајни за упућивање на лекарски преглед за добровољно служење војног рока са оружјем.</w:t>
      </w:r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Канди</w:t>
      </w:r>
      <w:r>
        <w:rPr>
          <w:color w:val="000000"/>
        </w:rPr>
        <w:t>дат је дужан да се јави на позив центра Министарства одбране за локалну самоуправу, односно да одмах по пријему позива обавести центaр Министарства одбране за локалну самоуправу о промени свог здравственог стања, болести или другом разлогу спречености да с</w:t>
      </w:r>
      <w:r>
        <w:rPr>
          <w:color w:val="000000"/>
        </w:rPr>
        <w:t>е одазове позиву.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lastRenderedPageBreak/>
        <w:t>Ако је разлог због којег се кандидат није одазвао позиву на лекарски преглед оправдан, центар Министарства одбране за локалну самоуправу одредиће нови термин за лекарски преглед кандидата.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Сматра се да је кандидат одустао од добровољног с</w:t>
      </w:r>
      <w:r>
        <w:rPr>
          <w:color w:val="000000"/>
        </w:rPr>
        <w:t>лужења војног рока са оружјем, ако не оправда изостанак са лекарског прегледа.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Кандидат може одустати од добровољног служења војног рока са оружјем најкасније пре обављања лекарског прегледа, ако у писаној форми, обавести центар Министарства одбран</w:t>
      </w:r>
      <w:r>
        <w:rPr>
          <w:color w:val="000000"/>
        </w:rPr>
        <w:t>е за локалну самоуправу код кога се води у евиденцији.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Кандидат за кога је донет акт о упућивању на добровољно служење војног рока са оружјем може на лични захтев одустати од служења војног рока, из следећих разлога: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болести</w:t>
      </w:r>
      <w:proofErr w:type="gramEnd"/>
      <w:r>
        <w:rPr>
          <w:color w:val="000000"/>
        </w:rPr>
        <w:t xml:space="preserve"> или повреде;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рође</w:t>
      </w:r>
      <w:r>
        <w:rPr>
          <w:color w:val="000000"/>
        </w:rPr>
        <w:t>ња</w:t>
      </w:r>
      <w:proofErr w:type="gramEnd"/>
      <w:r>
        <w:rPr>
          <w:color w:val="000000"/>
        </w:rPr>
        <w:t xml:space="preserve"> детета;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склапања</w:t>
      </w:r>
      <w:proofErr w:type="gramEnd"/>
      <w:r>
        <w:rPr>
          <w:color w:val="000000"/>
        </w:rPr>
        <w:t xml:space="preserve"> брака;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смрти</w:t>
      </w:r>
      <w:proofErr w:type="gramEnd"/>
      <w:r>
        <w:rPr>
          <w:color w:val="000000"/>
        </w:rPr>
        <w:t xml:space="preserve"> или тешке болести члана заједничког домаћинства;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упућивања</w:t>
      </w:r>
      <w:proofErr w:type="gramEnd"/>
      <w:r>
        <w:rPr>
          <w:color w:val="000000"/>
        </w:rPr>
        <w:t xml:space="preserve"> на школовање;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6) </w:t>
      </w:r>
      <w:proofErr w:type="gramStart"/>
      <w:r>
        <w:rPr>
          <w:color w:val="000000"/>
        </w:rPr>
        <w:t>запослења</w:t>
      </w:r>
      <w:proofErr w:type="gramEnd"/>
      <w:r>
        <w:rPr>
          <w:color w:val="000000"/>
        </w:rPr>
        <w:t>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7) </w:t>
      </w:r>
      <w:proofErr w:type="gramStart"/>
      <w:r>
        <w:rPr>
          <w:color w:val="000000"/>
        </w:rPr>
        <w:t>елементарне</w:t>
      </w:r>
      <w:proofErr w:type="gramEnd"/>
      <w:r>
        <w:rPr>
          <w:color w:val="000000"/>
        </w:rPr>
        <w:t xml:space="preserve"> непогоде којом би породица кандидата била доведена у тежак материјални положај.</w:t>
      </w:r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Доказе о разлозима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</w:t>
      </w:r>
      <w:r>
        <w:rPr>
          <w:color w:val="000000"/>
        </w:rPr>
        <w:t>вога</w:t>
      </w:r>
      <w:proofErr w:type="gramEnd"/>
      <w:r>
        <w:rPr>
          <w:color w:val="000000"/>
        </w:rPr>
        <w:t xml:space="preserve"> члана, кандидат је дужан да достави центру Министарства одбране за локалну самоуправу најкасније у року од осам дана од дана настанка разлога за одустанак од добровољног служења војног рока са оружјем.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Након извршених лекарских прегледа цента</w:t>
      </w:r>
      <w:r>
        <w:rPr>
          <w:color w:val="000000"/>
        </w:rPr>
        <w:t>р Министарства одбране за локалну самоуправу утврђује ранг листу пријављених кандидата за добровољно служење војног рока са оружјем.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Критеријуми за утврђивање ранг листе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су: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утврђен</w:t>
      </w:r>
      <w:proofErr w:type="gramEnd"/>
      <w:r>
        <w:rPr>
          <w:color w:val="000000"/>
        </w:rPr>
        <w:t xml:space="preserve"> потребан број војника за добровољно служење </w:t>
      </w:r>
      <w:r>
        <w:rPr>
          <w:color w:val="000000"/>
        </w:rPr>
        <w:t>војног рока са оружјем;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школска</w:t>
      </w:r>
      <w:proofErr w:type="gramEnd"/>
      <w:r>
        <w:rPr>
          <w:color w:val="000000"/>
        </w:rPr>
        <w:t xml:space="preserve"> спрема;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оцена</w:t>
      </w:r>
      <w:proofErr w:type="gramEnd"/>
      <w:r>
        <w:rPr>
          <w:color w:val="000000"/>
        </w:rPr>
        <w:t xml:space="preserve"> здравствене способности;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lastRenderedPageBreak/>
        <w:t xml:space="preserve">4) </w:t>
      </w:r>
      <w:proofErr w:type="gramStart"/>
      <w:r>
        <w:rPr>
          <w:color w:val="000000"/>
        </w:rPr>
        <w:t>разлози</w:t>
      </w:r>
      <w:proofErr w:type="gramEnd"/>
      <w:r>
        <w:rPr>
          <w:color w:val="000000"/>
        </w:rPr>
        <w:t xml:space="preserve"> које је кандидат навео у пријави за добровољно служење војног рока са оружјем.</w:t>
      </w:r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 xml:space="preserve">Утврђивање коначне ранг листе кандидата за позивање на добровољно служење војног рока са </w:t>
      </w:r>
      <w:r>
        <w:rPr>
          <w:color w:val="000000"/>
        </w:rPr>
        <w:t>оружјем врше регионални центри Министарства одбране, на основу предлога центара Министарства одбране за локалну самоуправу.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Избор потребног броја кандидата врше регионални центри Министарства одбране на основу утврђене коначне ранг листе кандидата за позив</w:t>
      </w:r>
      <w:r>
        <w:rPr>
          <w:color w:val="000000"/>
        </w:rPr>
        <w:t>ање на добровољно служење војног рока са оружјем и Плана упута, који израђује и доставља Министарствo одбране.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Са изабраним кандидатима територијално надлежни центар Министарства одбране за локалну самоуправу закључује уговор којим се уређују међу</w:t>
      </w:r>
      <w:r>
        <w:rPr>
          <w:color w:val="000000"/>
        </w:rPr>
        <w:t>собна права и обавезе.</w:t>
      </w:r>
      <w:proofErr w:type="gramEnd"/>
    </w:p>
    <w:p w:rsidR="006364EA" w:rsidRDefault="00AD0C3A" w:rsidP="00AD0C3A">
      <w:pPr>
        <w:spacing w:after="120"/>
        <w:jc w:val="center"/>
      </w:pPr>
      <w:r>
        <w:rPr>
          <w:color w:val="000000"/>
        </w:rPr>
        <w:t>IV. УПУТ НА ДОБРОВОЉНО СЛУЖЕЊЕ ВОЈНОГ РОКА СА ОРУЖЈЕМ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Упут кандидата на добровољно служење војног рока са оружјем спроводи се у складу са наређењем министра одбране или лица које он овласти о упућивању кандидата на добровољн</w:t>
      </w:r>
      <w:r>
        <w:rPr>
          <w:color w:val="000000"/>
        </w:rPr>
        <w:t>о служење војног рока са оружјем.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Центар Министарства одбране за локалну самоуправу појединачним позивом позива кандидата на добровољно служење војног рока са оружјем, најкасније осам дана пре упућивања у центар за обуку.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 xml:space="preserve">Кандидат који је изабран </w:t>
      </w:r>
      <w:r>
        <w:rPr>
          <w:color w:val="000000"/>
        </w:rPr>
        <w:t>за добровољно служење војног рока са оружјем актом надлежног органа дужан је да се јави у центар за обуку у време назначено у појединачном позиву.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Добровољно служење војног рока са оружјем започиње даном ступања кандидата у центар за обуку, када кандидат п</w:t>
      </w:r>
      <w:r>
        <w:rPr>
          <w:color w:val="000000"/>
        </w:rPr>
        <w:t>остаје војник на добровољном служењу војног рока.</w:t>
      </w:r>
      <w:proofErr w:type="gramEnd"/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Центар Министарства одбране за локалну самоуправу доставља центрима за обуку документацију за кандидате које упућује на добровољно служење војнога рока са оружјем, по правилу, најкасније пет дана п</w:t>
      </w:r>
      <w:r>
        <w:rPr>
          <w:color w:val="000000"/>
        </w:rPr>
        <w:t>ре дана одређеног за јављање кандидата у центар за обуку.</w:t>
      </w:r>
      <w:proofErr w:type="gramEnd"/>
    </w:p>
    <w:p w:rsidR="006364EA" w:rsidRDefault="00AD0C3A" w:rsidP="00AD0C3A">
      <w:pPr>
        <w:spacing w:after="150"/>
        <w:jc w:val="both"/>
        <w:rPr>
          <w:color w:val="000000"/>
        </w:rPr>
      </w:pPr>
      <w:proofErr w:type="gramStart"/>
      <w:r>
        <w:rPr>
          <w:color w:val="000000"/>
        </w:rPr>
        <w:t>Центри за обуку обавештавају центре Министарства одбране за локалну самоуправу о кандидатима који су се јавили на добровољно служење војног рока са оружјем, најкасније пет дана након њиховог јављања</w:t>
      </w:r>
      <w:r>
        <w:rPr>
          <w:color w:val="000000"/>
        </w:rPr>
        <w:t>.</w:t>
      </w:r>
      <w:proofErr w:type="gramEnd"/>
    </w:p>
    <w:p w:rsidR="00AD0C3A" w:rsidRDefault="00AD0C3A" w:rsidP="00AD0C3A">
      <w:pPr>
        <w:spacing w:after="150"/>
        <w:jc w:val="both"/>
      </w:pP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lastRenderedPageBreak/>
        <w:t>Члан 15.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Војнику за време трајања добровољног служења војног рока са оружјем обезбеђује се, у складу са законом: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накнада</w:t>
      </w:r>
      <w:proofErr w:type="gramEnd"/>
      <w:r>
        <w:rPr>
          <w:color w:val="000000"/>
        </w:rPr>
        <w:t xml:space="preserve"> путних трошкова за јављање на добровољно служење војног рока са оружјем у назначени центар за обуку, од места пребивалишта у Репуб</w:t>
      </w:r>
      <w:r>
        <w:rPr>
          <w:color w:val="000000"/>
        </w:rPr>
        <w:t>лици Србији до центра за обуку;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накнада</w:t>
      </w:r>
      <w:proofErr w:type="gramEnd"/>
      <w:r>
        <w:rPr>
          <w:color w:val="000000"/>
        </w:rPr>
        <w:t xml:space="preserve"> путних трошкова за повратак кући по одслужењу добровољног служења војног рока са оружјем, од центра за обуку до места пребивалишта у Републици Србији;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новчана</w:t>
      </w:r>
      <w:proofErr w:type="gramEnd"/>
      <w:r>
        <w:rPr>
          <w:color w:val="000000"/>
        </w:rPr>
        <w:t xml:space="preserve"> примања у месечном износу који одреди министар одбр</w:t>
      </w:r>
      <w:r>
        <w:rPr>
          <w:color w:val="000000"/>
        </w:rPr>
        <w:t>ане;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права</w:t>
      </w:r>
      <w:proofErr w:type="gramEnd"/>
      <w:r>
        <w:rPr>
          <w:color w:val="000000"/>
        </w:rPr>
        <w:t xml:space="preserve"> из здравственог осигурања по прописима из здравственог осигурања у Војсци Србије за војне обвезнике;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5) </w:t>
      </w:r>
      <w:proofErr w:type="gramStart"/>
      <w:r>
        <w:rPr>
          <w:color w:val="000000"/>
        </w:rPr>
        <w:t>смештај</w:t>
      </w:r>
      <w:proofErr w:type="gramEnd"/>
      <w:r>
        <w:rPr>
          <w:color w:val="000000"/>
        </w:rPr>
        <w:t xml:space="preserve"> и исхрана, војна одећа и обућа.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Новчана примања из члана 15.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тачка</w:t>
      </w:r>
      <w:proofErr w:type="gramEnd"/>
      <w:r>
        <w:rPr>
          <w:color w:val="000000"/>
        </w:rPr>
        <w:t xml:space="preserve"> 3) ове уредбе припадају војнику почев од месеца у </w:t>
      </w:r>
      <w:r>
        <w:rPr>
          <w:color w:val="000000"/>
        </w:rPr>
        <w:t>којем је ступио на добровољно служење војног рока и исплаћују се за сваки месец, закључно са месецом у којем му престаје својство војника на добровољном служењу војног рока.</w:t>
      </w:r>
    </w:p>
    <w:p w:rsidR="006364EA" w:rsidRDefault="00AD0C3A" w:rsidP="00AD0C3A">
      <w:pPr>
        <w:spacing w:after="120"/>
        <w:jc w:val="center"/>
      </w:pPr>
      <w:r>
        <w:rPr>
          <w:color w:val="000000"/>
        </w:rPr>
        <w:t>V. ПРЕКИД ДОБРОВОЉНОГ СЛУЖЕЊА ВОЈНОГ РОКА И ОТПУСТ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 xml:space="preserve">У случају самовољног </w:t>
      </w:r>
      <w:r>
        <w:rPr>
          <w:color w:val="000000"/>
        </w:rPr>
        <w:t>прекида добровољног служења војног рока са оружјем, војник је дужан да накнади стварне трошкове Министарству одбране, у складу са потписаним уговором.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Војнику се може, на његов захтев, извршити прекид добровољног служења војног рока са оружјем, без обавезе</w:t>
      </w:r>
      <w:r>
        <w:rPr>
          <w:color w:val="000000"/>
        </w:rPr>
        <w:t xml:space="preserve"> накнаде трошкова, из следећих разлога: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смрти</w:t>
      </w:r>
      <w:proofErr w:type="gramEnd"/>
      <w:r>
        <w:rPr>
          <w:color w:val="000000"/>
        </w:rPr>
        <w:t xml:space="preserve"> члана породице;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теже</w:t>
      </w:r>
      <w:proofErr w:type="gramEnd"/>
      <w:r>
        <w:rPr>
          <w:color w:val="000000"/>
        </w:rPr>
        <w:t xml:space="preserve"> болести члана породице;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рођења</w:t>
      </w:r>
      <w:proofErr w:type="gramEnd"/>
      <w:r>
        <w:rPr>
          <w:color w:val="000000"/>
        </w:rPr>
        <w:t xml:space="preserve"> детета;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4) </w:t>
      </w:r>
      <w:proofErr w:type="gramStart"/>
      <w:r>
        <w:rPr>
          <w:color w:val="000000"/>
        </w:rPr>
        <w:t>елементарне</w:t>
      </w:r>
      <w:proofErr w:type="gramEnd"/>
      <w:r>
        <w:rPr>
          <w:color w:val="000000"/>
        </w:rPr>
        <w:t xml:space="preserve"> непогоде којом би породица војника била доведена у тежак материјални положај.</w:t>
      </w:r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О прекиду добровољног служења војног рока са ору</w:t>
      </w:r>
      <w:r>
        <w:rPr>
          <w:color w:val="000000"/>
        </w:rPr>
        <w:t xml:space="preserve">жјем и обавези накнаде трошкова одлучује </w:t>
      </w:r>
      <w:r>
        <w:rPr>
          <w:b/>
          <w:color w:val="000000"/>
        </w:rPr>
        <w:t>старешина команде, јединице или установе Војске Србије на положају команданта батаљона или старешина њему равног или вишег положаја у којој војник служи војни рок</w:t>
      </w:r>
      <w:r>
        <w:rPr>
          <w:rFonts w:ascii="Calibri"/>
          <w:b/>
          <w:color w:val="000000"/>
          <w:vertAlign w:val="superscript"/>
        </w:rPr>
        <w:t>*</w:t>
      </w:r>
      <w:r>
        <w:rPr>
          <w:color w:val="000000"/>
        </w:rPr>
        <w:t>.</w:t>
      </w:r>
      <w:proofErr w:type="gramEnd"/>
    </w:p>
    <w:p w:rsidR="006364EA" w:rsidRDefault="00AD0C3A" w:rsidP="00AD0C3A">
      <w:pPr>
        <w:spacing w:after="150"/>
        <w:jc w:val="both"/>
        <w:rPr>
          <w:color w:val="000000"/>
        </w:rPr>
      </w:pPr>
      <w:r>
        <w:rPr>
          <w:color w:val="000000"/>
        </w:rPr>
        <w:t>*Службени гласник РС, број 95/2016</w:t>
      </w:r>
    </w:p>
    <w:p w:rsidR="00AD0C3A" w:rsidRDefault="00AD0C3A" w:rsidP="00AD0C3A">
      <w:pPr>
        <w:spacing w:after="150"/>
        <w:jc w:val="both"/>
      </w:pP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lastRenderedPageBreak/>
        <w:t>Члан 18.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Војник</w:t>
      </w:r>
      <w:r>
        <w:rPr>
          <w:color w:val="000000"/>
        </w:rPr>
        <w:t>у се прекида добровољно служење војног рока са оружјем, ако се утврди да је: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оценом</w:t>
      </w:r>
      <w:proofErr w:type="gramEnd"/>
      <w:r>
        <w:rPr>
          <w:color w:val="000000"/>
        </w:rPr>
        <w:t xml:space="preserve"> надлежне војне здравствене установе оглашен привремено неспособним или неспособним за војну службу;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у</w:t>
      </w:r>
      <w:proofErr w:type="gramEnd"/>
      <w:r>
        <w:rPr>
          <w:color w:val="000000"/>
        </w:rPr>
        <w:t xml:space="preserve"> време добровољног служења војног рока против њега покренут криви</w:t>
      </w:r>
      <w:r>
        <w:rPr>
          <w:color w:val="000000"/>
        </w:rPr>
        <w:t>чни поступак;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 xml:space="preserve">3) </w:t>
      </w:r>
      <w:proofErr w:type="gramStart"/>
      <w:r>
        <w:rPr>
          <w:color w:val="000000"/>
        </w:rPr>
        <w:t>учинио</w:t>
      </w:r>
      <w:proofErr w:type="gramEnd"/>
      <w:r>
        <w:rPr>
          <w:color w:val="000000"/>
        </w:rPr>
        <w:t xml:space="preserve"> дисциплински преступ прописан Законом о Војсци Србије.</w:t>
      </w:r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У случају прекида добровољног служења војног рока са оружјем из разлога наведених у ставу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2)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3) овог члана, територијални орган Министарства одбране покреће поступак н</w:t>
      </w:r>
      <w:r>
        <w:rPr>
          <w:color w:val="000000"/>
        </w:rPr>
        <w:t>акнаде трошкова у складу са закљученим уговором.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19.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Војник се отпушта из Војске Србије истеком прописаног рока за добровољно служење војног рока са оружјем, односно даном доношења акта о прекиду добровољног служења војног рока са оружјем.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Датум заврш</w:t>
      </w:r>
      <w:r>
        <w:rPr>
          <w:color w:val="000000"/>
        </w:rPr>
        <w:t>етка добровољног служења војног рока са оружјем, односно датум и разлог прекида и отпуста из Војске Србије уписују се у војну књижицу и друга документа војне евиденције.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При отпусту из Војске Србије војнику се уручује војна књижица, а остала документа из е</w:t>
      </w:r>
      <w:r>
        <w:rPr>
          <w:color w:val="000000"/>
        </w:rPr>
        <w:t>виденције центар за обуку доставља центру Министарства одбране за локалну самоуправу, код којег се војник води у евиденцији.</w:t>
      </w:r>
      <w:proofErr w:type="gramEnd"/>
    </w:p>
    <w:p w:rsidR="006364EA" w:rsidRDefault="00AD0C3A" w:rsidP="00AD0C3A">
      <w:pPr>
        <w:spacing w:after="120"/>
        <w:jc w:val="center"/>
      </w:pPr>
      <w:r>
        <w:rPr>
          <w:color w:val="000000"/>
        </w:rPr>
        <w:t>VI. ЗАВРШНА ОДРЕДБА</w:t>
      </w:r>
    </w:p>
    <w:p w:rsidR="006364EA" w:rsidRDefault="00AD0C3A" w:rsidP="00AD0C3A">
      <w:pPr>
        <w:spacing w:after="120"/>
        <w:jc w:val="center"/>
      </w:pPr>
      <w:proofErr w:type="gramStart"/>
      <w:r>
        <w:rPr>
          <w:color w:val="000000"/>
        </w:rPr>
        <w:t>Члан 20.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Ова уредба ступа на снагу осмог дана од дана објављивања у „Службеном гласнику Републике Србије”.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 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>05</w:t>
      </w:r>
      <w:r>
        <w:rPr>
          <w:color w:val="000000"/>
        </w:rPr>
        <w:t xml:space="preserve"> број 110-639/2011-002</w:t>
      </w:r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У Београду, 3.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фебруара</w:t>
      </w:r>
      <w:proofErr w:type="gramEnd"/>
      <w:r>
        <w:rPr>
          <w:color w:val="000000"/>
        </w:rPr>
        <w:t xml:space="preserve"> 2011. </w:t>
      </w:r>
      <w:proofErr w:type="gramStart"/>
      <w:r>
        <w:rPr>
          <w:color w:val="000000"/>
        </w:rPr>
        <w:t>године</w:t>
      </w:r>
      <w:proofErr w:type="gramEnd"/>
    </w:p>
    <w:p w:rsidR="006364EA" w:rsidRDefault="00AD0C3A" w:rsidP="00AD0C3A">
      <w:pPr>
        <w:spacing w:after="150"/>
        <w:jc w:val="both"/>
      </w:pPr>
      <w:r>
        <w:rPr>
          <w:b/>
          <w:color w:val="000000"/>
        </w:rPr>
        <w:t>Влада</w:t>
      </w:r>
    </w:p>
    <w:p w:rsidR="006364EA" w:rsidRDefault="00AD0C3A" w:rsidP="00AD0C3A">
      <w:pPr>
        <w:spacing w:after="150"/>
        <w:jc w:val="both"/>
      </w:pPr>
      <w:r>
        <w:rPr>
          <w:color w:val="000000"/>
        </w:rPr>
        <w:t>Председник,</w:t>
      </w:r>
    </w:p>
    <w:p w:rsidR="006364EA" w:rsidRDefault="00AD0C3A" w:rsidP="00AD0C3A">
      <w:pPr>
        <w:spacing w:after="150"/>
        <w:jc w:val="both"/>
      </w:pPr>
      <w:proofErr w:type="gramStart"/>
      <w:r>
        <w:rPr>
          <w:color w:val="000000"/>
        </w:rPr>
        <w:t>др</w:t>
      </w:r>
      <w:proofErr w:type="gramEnd"/>
      <w:r>
        <w:rPr>
          <w:color w:val="000000"/>
        </w:rPr>
        <w:t xml:space="preserve"> </w:t>
      </w:r>
      <w:r>
        <w:rPr>
          <w:b/>
          <w:color w:val="000000"/>
        </w:rPr>
        <w:t>Мирко Цветковић,</w:t>
      </w:r>
      <w:r>
        <w:rPr>
          <w:color w:val="000000"/>
        </w:rPr>
        <w:t xml:space="preserve"> с.р.</w:t>
      </w:r>
    </w:p>
    <w:p w:rsidR="006364EA" w:rsidRDefault="00AD0C3A" w:rsidP="00AD0C3A">
      <w:pPr>
        <w:spacing w:after="120"/>
        <w:jc w:val="both"/>
      </w:pPr>
      <w:r>
        <w:rPr>
          <w:b/>
          <w:color w:val="000000"/>
        </w:rPr>
        <w:t>ОДРЕДБЕ КOЈЕ НИСУ УНЕТЕ У „ПРЕЧИШЋЕН ТЕКСТ” УРЕДБЕ</w:t>
      </w:r>
    </w:p>
    <w:p w:rsidR="006364EA" w:rsidRDefault="00AD0C3A" w:rsidP="00AD0C3A">
      <w:pPr>
        <w:spacing w:after="120"/>
        <w:jc w:val="both"/>
      </w:pPr>
      <w:r>
        <w:rPr>
          <w:color w:val="000000"/>
        </w:rPr>
        <w:t> </w:t>
      </w:r>
    </w:p>
    <w:p w:rsidR="006364EA" w:rsidRDefault="00AD0C3A" w:rsidP="00AD0C3A">
      <w:pPr>
        <w:spacing w:after="120"/>
        <w:jc w:val="both"/>
      </w:pPr>
      <w:r>
        <w:rPr>
          <w:i/>
          <w:color w:val="000000"/>
        </w:rPr>
        <w:lastRenderedPageBreak/>
        <w:t xml:space="preserve">Уредба о изменама и допуни Уредбе о начину и поступку добровољног служења војног рока са оружје: </w:t>
      </w:r>
      <w:r>
        <w:rPr>
          <w:i/>
          <w:color w:val="000000"/>
        </w:rPr>
        <w:t>„Службени гласник РС", број 96/2021-20</w:t>
      </w:r>
    </w:p>
    <w:p w:rsidR="006364EA" w:rsidRDefault="00AD0C3A" w:rsidP="00AD0C3A">
      <w:pPr>
        <w:spacing w:after="120"/>
        <w:jc w:val="both"/>
      </w:pPr>
      <w:proofErr w:type="gramStart"/>
      <w:r>
        <w:rPr>
          <w:b/>
          <w:color w:val="000000"/>
        </w:rPr>
        <w:t>Члан 3.</w:t>
      </w:r>
      <w:proofErr w:type="gramEnd"/>
    </w:p>
    <w:p w:rsidR="006364EA" w:rsidRDefault="00AD0C3A" w:rsidP="00AD0C3A">
      <w:pPr>
        <w:spacing w:after="150"/>
        <w:jc w:val="both"/>
      </w:pPr>
      <w:proofErr w:type="gramStart"/>
      <w:r>
        <w:rPr>
          <w:b/>
          <w:color w:val="000000"/>
        </w:rPr>
        <w:t>Ова уредба ступа на снагу даном објављивања у „Службеном гласнику Републике Србије”.</w:t>
      </w:r>
      <w:proofErr w:type="gramEnd"/>
    </w:p>
    <w:p w:rsidR="006364EA" w:rsidRDefault="00AD0C3A" w:rsidP="00AD0C3A">
      <w:pPr>
        <w:spacing w:after="150"/>
        <w:jc w:val="both"/>
      </w:pPr>
      <w:r>
        <w:rPr>
          <w:color w:val="000000"/>
        </w:rPr>
        <w:t> </w:t>
      </w:r>
    </w:p>
    <w:p w:rsidR="006364EA" w:rsidRDefault="00AD0C3A" w:rsidP="00AD0C3A">
      <w:pPr>
        <w:spacing w:after="150"/>
        <w:jc w:val="both"/>
      </w:pPr>
      <w:r>
        <w:rPr>
          <w:i/>
          <w:color w:val="000000"/>
        </w:rPr>
        <w:t>НАПОМЕНА ИЗДАВАЧА: Уредбом о изменама и допуни Уредбе о начину и поступку добровољног служења војног рока са оружјем ("Слу</w:t>
      </w:r>
      <w:r>
        <w:rPr>
          <w:i/>
          <w:color w:val="000000"/>
        </w:rPr>
        <w:t xml:space="preserve">жбени гласник РС", број 96/2021) Образац пријаве за добровољно служење војног рока са оружјем замењен је новим обрасцем (види члан 2. </w:t>
      </w:r>
      <w:proofErr w:type="gramStart"/>
      <w:r>
        <w:rPr>
          <w:i/>
          <w:color w:val="000000"/>
        </w:rPr>
        <w:t>Уредбе - 96/2021-20).</w:t>
      </w:r>
      <w:proofErr w:type="gramEnd"/>
    </w:p>
    <w:p w:rsidR="006364EA" w:rsidRDefault="00AD0C3A" w:rsidP="00AD0C3A">
      <w:pPr>
        <w:spacing w:after="120"/>
        <w:jc w:val="both"/>
      </w:pPr>
      <w:r>
        <w:rPr>
          <w:color w:val="000000"/>
        </w:rPr>
        <w:t>ОБРАЗАЦ</w:t>
      </w:r>
    </w:p>
    <w:p w:rsidR="006364EA" w:rsidRDefault="00AD0C3A" w:rsidP="00AD0C3A">
      <w:pPr>
        <w:spacing w:after="120"/>
        <w:jc w:val="both"/>
      </w:pPr>
      <w:r>
        <w:rPr>
          <w:color w:val="000000"/>
        </w:rPr>
        <w:t>ПРИЈАВЕ ЗА ДОБРОВОЉНО СЛУЖЕЊЕ ВОЈНОГ РОКА СА ОРУЖЈЕМ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/>
      </w:tblPr>
      <w:tblGrid>
        <w:gridCol w:w="1526"/>
        <w:gridCol w:w="3148"/>
        <w:gridCol w:w="182"/>
        <w:gridCol w:w="4272"/>
      </w:tblGrid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 xml:space="preserve">Презиме, име једног родитеља и име </w:t>
            </w:r>
            <w:r>
              <w:rPr>
                <w:color w:val="000000"/>
              </w:rPr>
              <w:t>кандидата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ЈМБГ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Место, општина и држава рођења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Пребивалиште и адреса становања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14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Подаци за контакт</w:t>
            </w: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Фиксни тел.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4EA" w:rsidRDefault="006364EA" w:rsidP="00AD0C3A">
            <w:pPr>
              <w:jc w:val="both"/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Мобилни тел.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364EA" w:rsidRDefault="006364EA" w:rsidP="00AD0C3A">
            <w:pPr>
              <w:jc w:val="both"/>
            </w:pPr>
          </w:p>
        </w:tc>
        <w:tc>
          <w:tcPr>
            <w:tcW w:w="59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E-mail адреса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Врста и степен стручне спреме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Занимање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Знања и вештине значајне за Војску Србије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1. НЕ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 xml:space="preserve">2. ДА </w:t>
            </w:r>
            <w:r>
              <w:rPr>
                <w:color w:val="000000"/>
              </w:rPr>
              <w:t>(борилачке вештине, стрељаштво, ронилац, алпиниста, активно бављење осталим спортовима).</w:t>
            </w: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Добровољно сам се пријавио-ла за служење војног рока са оружјем, јер: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1. желим да будем професионални војник,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2. желим да будем у активној резерви,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3. други разлог (н</w:t>
            </w:r>
            <w:r>
              <w:rPr>
                <w:color w:val="000000"/>
              </w:rPr>
              <w:t>авести разлог)</w:t>
            </w: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 xml:space="preserve">Желео-ла бих да служим војни рок у </w:t>
            </w:r>
            <w:r>
              <w:rPr>
                <w:color w:val="000000"/>
              </w:rPr>
              <w:lastRenderedPageBreak/>
              <w:t>роду – служби (навести род – службу):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lastRenderedPageBreak/>
              <w:t xml:space="preserve">1. пешадија: (јединице Војне </w:t>
            </w:r>
            <w:r>
              <w:rPr>
                <w:color w:val="000000"/>
              </w:rPr>
              <w:lastRenderedPageBreak/>
              <w:t>полиције, извиђачке јединице, диверзантске јединице, падобранске јединице);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2. оклопне јединице;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3. артиљерија;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4. инжињерија;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5. АРЈ ПВД;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6. авијација;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7. речне јединице;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8. јединице за електронска дејства;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9. опште службе: (телекомуникације, ВОЈ, АБХ);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10. логистичке службе: (техничка, интендантска,</w:t>
            </w:r>
          </w:p>
          <w:p w:rsidR="006364EA" w:rsidRDefault="00AD0C3A" w:rsidP="00AD0C3A">
            <w:pPr>
              <w:spacing w:after="150"/>
              <w:jc w:val="both"/>
            </w:pPr>
            <w:proofErr w:type="gramStart"/>
            <w:r>
              <w:rPr>
                <w:color w:val="000000"/>
              </w:rPr>
              <w:t>санитетска</w:t>
            </w:r>
            <w:proofErr w:type="gramEnd"/>
            <w:r>
              <w:rPr>
                <w:color w:val="000000"/>
              </w:rPr>
              <w:t>, саобраћајна).</w:t>
            </w: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lastRenderedPageBreak/>
              <w:t>Волео-ла бих да војни рок служим у:</w:t>
            </w:r>
          </w:p>
        </w:tc>
        <w:tc>
          <w:tcPr>
            <w:tcW w:w="700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ЦО Сомбор,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ЦО Ваљево,</w:t>
            </w:r>
          </w:p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ЦО Лес</w:t>
            </w:r>
            <w:r>
              <w:rPr>
                <w:color w:val="000000"/>
              </w:rPr>
              <w:t>ковац.</w:t>
            </w:r>
          </w:p>
        </w:tc>
      </w:tr>
      <w:tr w:rsidR="006364EA">
        <w:trPr>
          <w:trHeight w:val="45"/>
          <w:tblCellSpacing w:w="0" w:type="auto"/>
        </w:trPr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У складу са чланом 15. Закона о заштити података о личности („Службени гласник РС”, број 87/18) ДАЈЕМ ПРИСТАНАК да надлежни орган Министарства одбране прибавља и обрађује податке о чињеницама о којима се воде службене евиденције о мени у другим орг</w:t>
            </w:r>
            <w:r>
              <w:rPr>
                <w:color w:val="000000"/>
              </w:rPr>
              <w:t>анима државне управе, у сврху одлучивања мојег упута на добровољно служење војног рока са оружјем.</w:t>
            </w:r>
          </w:p>
        </w:tc>
      </w:tr>
      <w:tr w:rsidR="006364EA">
        <w:trPr>
          <w:trHeight w:val="45"/>
          <w:tblCellSpacing w:w="0" w:type="auto"/>
        </w:trPr>
        <w:tc>
          <w:tcPr>
            <w:tcW w:w="7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У__________, дана______________</w:t>
            </w: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____________________</w:t>
            </w:r>
          </w:p>
        </w:tc>
      </w:tr>
      <w:tr w:rsidR="006364EA">
        <w:trPr>
          <w:trHeight w:val="45"/>
          <w:tblCellSpacing w:w="0" w:type="auto"/>
        </w:trPr>
        <w:tc>
          <w:tcPr>
            <w:tcW w:w="79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6364EA" w:rsidP="00AD0C3A">
            <w:pPr>
              <w:jc w:val="both"/>
            </w:pPr>
          </w:p>
        </w:tc>
        <w:tc>
          <w:tcPr>
            <w:tcW w:w="6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364EA" w:rsidRDefault="00AD0C3A" w:rsidP="00AD0C3A">
            <w:pPr>
              <w:spacing w:after="150"/>
              <w:jc w:val="both"/>
            </w:pPr>
            <w:r>
              <w:rPr>
                <w:color w:val="000000"/>
              </w:rPr>
              <w:t>(потпис кандидата)</w:t>
            </w:r>
          </w:p>
        </w:tc>
      </w:tr>
    </w:tbl>
    <w:p w:rsidR="006364EA" w:rsidRDefault="00AD0C3A" w:rsidP="00AD0C3A">
      <w:pPr>
        <w:spacing w:after="150"/>
        <w:jc w:val="both"/>
      </w:pPr>
      <w:r>
        <w:rPr>
          <w:color w:val="000000"/>
        </w:rPr>
        <w:t> </w:t>
      </w:r>
    </w:p>
    <w:sectPr w:rsidR="006364EA" w:rsidSect="006364EA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364EA"/>
    <w:rsid w:val="006364EA"/>
    <w:rsid w:val="00AD0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6364E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36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6364E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1872</Words>
  <Characters>10677</Characters>
  <Application>Microsoft Office Word</Application>
  <DocSecurity>0</DocSecurity>
  <Lines>88</Lines>
  <Paragraphs>25</Paragraphs>
  <ScaleCrop>false</ScaleCrop>
  <Company/>
  <LinksUpToDate>false</LinksUpToDate>
  <CharactersWithSpaces>12524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User</cp:lastModifiedBy>
  <cp:revision>2</cp:revision>
  <dcterms:created xsi:type="dcterms:W3CDTF">2022-01-20T13:42:00Z</dcterms:created>
  <dcterms:modified xsi:type="dcterms:W3CDTF">2022-01-20T13:44:00Z</dcterms:modified>
</cp:coreProperties>
</file>